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9D5D8A">
        <w:tc>
          <w:tcPr>
            <w:tcW w:w="10313" w:type="dxa"/>
            <w:shd w:val="clear" w:color="auto" w:fill="auto"/>
          </w:tcPr>
          <w:p w:rsidR="009D5D8A" w:rsidRDefault="009D5D8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22" w:type="dxa"/>
            <w:shd w:val="clear" w:color="auto" w:fill="auto"/>
          </w:tcPr>
          <w:p w:rsidR="009D5D8A" w:rsidRDefault="006D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Министерства здравоохранения 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Свердловской области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___________________ № ___________  </w:t>
            </w:r>
          </w:p>
        </w:tc>
      </w:tr>
    </w:tbl>
    <w:p w:rsidR="009D5D8A" w:rsidRDefault="009D5D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5D8A" w:rsidRDefault="009D5D8A">
      <w:pPr>
        <w:suppressAutoHyphens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9D5D8A" w:rsidRDefault="006D0C48">
      <w:pPr>
        <w:suppressAutoHyphens/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br/>
        <w:t xml:space="preserve">и маршрутизация пациентов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Ревматология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D5D8A" w:rsidRDefault="009D5D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D8A" w:rsidRDefault="006D0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Показания для направления на консультативный прием к ревматологу</w:t>
      </w:r>
    </w:p>
    <w:tbl>
      <w:tblPr>
        <w:tblStyle w:val="af1"/>
        <w:tblpPr w:leftFromText="180" w:rightFromText="180" w:vertAnchor="text" w:horzAnchor="margin" w:tblpY="633"/>
        <w:tblW w:w="14879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641"/>
        <w:gridCol w:w="1866"/>
        <w:gridCol w:w="1535"/>
        <w:gridCol w:w="4977"/>
        <w:gridCol w:w="5860"/>
      </w:tblGrid>
      <w:tr w:rsidR="009D5D8A"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Код заболевания по МКБ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Перечень обязательных обследований из медицинских организаций первого уровня в территориальные поликлиники, медицинские межмуниципальные центры, в областной ревматологический центр 3 уровня (для территорий, где нет ревматолога) при направлении врачом первичного звена</w:t>
            </w:r>
          </w:p>
        </w:tc>
      </w:tr>
      <w:tr w:rsidR="009D5D8A">
        <w:trPr>
          <w:trHeight w:val="3427"/>
        </w:trPr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Воспалите-льные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артропатии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М06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М07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М08.2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М10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М13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подозрение на заболевание;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уточнение диагноза при появлении новых симптомов, либо при нестандартном течении заболевания у пациентов с уже установленным диагнозом;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коррекция терапии (оценка адекватности и профиля безопасности проводимой терапии) у пациентов с установленным диагнозом.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(СРБ, ревматоидный фактор),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5) R-графия  кистей и стоп,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6) анализы крови на гепатиты (в течение последних 6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7) ВИЧ  при первичной диагностике </w:t>
            </w:r>
            <w:bookmarkStart w:id="0" w:name="__DdeLink__929_1419040738"/>
            <w:bookmarkEnd w:id="0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(в течение последних 6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8)  Флюорография легких (в течение года).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5D8A">
        <w:trPr>
          <w:trHeight w:val="3427"/>
        </w:trPr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Спондило-патии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М45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М46.8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подозрение на заболевание;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уточнение диагноза при появлении новых симптомов, либо при нестандартном течении заболевания у пациентов с уже установленным диагнозом;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коррекция терапии (оценка адекватности и профиля безопасности проводимой терапии) у пациентов с установленным диагнозом.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(СРБ, ревматоидный фактор),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анализы крови на гепатиты (в течение последних 6 месяцев),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6) R-графия  таза,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7) R-графия  кистей и стоп (при наличии периферических артритов),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8) ВИЧ  при первичной диагностике (в течение последних 6 месяцев), 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9)  Флюорография легких (в течение года).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Системные поражения соедини-тельной ткани 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М30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М31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М33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М34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М35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подозрение на заболевание;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уточнение диагноза при появлении новых симптомов, либо при нестандартном течении заболевания у пациентов с уже установленным диагнозом;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коррекция терапии (оценка адекватности и профиля безопасности проводимой терапии) у пациентов с установленным диагнозом.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анализы крови на гепатиты (в течение последних 6 месяцев),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6) R-графия  грудной клетки,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7) суточная протеинурия,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8) анализ мочи по Нечипоренко,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9) ЭКГ,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10) УЗИ брюшной полости (1 раз в 6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11) ЭХО-КГ (1 раз в 6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12) ВИЧ  при первичной диагностике (в течение последних 6 месяцев).</w:t>
            </w:r>
          </w:p>
        </w:tc>
      </w:tr>
      <w:tr w:rsidR="009D5D8A"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Артрозы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М15- М19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pStyle w:val="3"/>
              <w:spacing w:after="58"/>
              <w:jc w:val="left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1) остеоартроз с синовитом,  </w:t>
            </w:r>
          </w:p>
          <w:p w:rsidR="009D5D8A" w:rsidRDefault="006D0C48">
            <w:pPr>
              <w:pStyle w:val="3"/>
              <w:spacing w:after="58"/>
              <w:jc w:val="left"/>
              <w:outlineLvl w:val="2"/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2) отсутствие эффекта от проведенной адекватной терапии, проводимой в течение трех месяцев.</w:t>
            </w: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(СРБ, ревматоидный фактор),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R-графия  суставов.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Остеопороз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М80- М81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тяжелый остеопороз у лиц трудоспособного возраста и лиц с ревматическими болезнями, 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 затруднения при постановке диагноза и проведение дифференциального диагноза, 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отсутствие эффекта от лечения (отсутствие положительной динамики денситометрии или при развитии новых переломов) при адекватной терапии, проводимой в течение 12 месяцев,</w:t>
            </w:r>
          </w:p>
          <w:p w:rsidR="009D5D8A" w:rsidRDefault="006D0C48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продление лечения препаратами, вводимыми в дневных стационарах.</w:t>
            </w: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кальций, фосфор, щелочная фосфатаза),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R-графия  позвоночника при боли в спине.</w:t>
            </w:r>
          </w:p>
        </w:tc>
      </w:tr>
      <w:tr w:rsidR="009D5D8A">
        <w:tc>
          <w:tcPr>
            <w:tcW w:w="641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6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Несовершенный остеогенез</w:t>
            </w:r>
          </w:p>
        </w:tc>
        <w:tc>
          <w:tcPr>
            <w:tcW w:w="1535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Q78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4977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уточнение диагноза,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 назначение терапии,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мониторирование лечения.</w:t>
            </w:r>
          </w:p>
        </w:tc>
        <w:tc>
          <w:tcPr>
            <w:tcW w:w="5860" w:type="dxa"/>
            <w:shd w:val="clear" w:color="auto" w:fill="auto"/>
            <w:tcMar>
              <w:left w:w="68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кальций, фосфор, щелочная фосфатаза),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R-графия  позвоночника при боли в спине.</w:t>
            </w:r>
          </w:p>
        </w:tc>
      </w:tr>
    </w:tbl>
    <w:p w:rsidR="009D5D8A" w:rsidRDefault="009D5D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p w:rsidR="009D5D8A" w:rsidRDefault="009D5D8A">
      <w:pPr>
        <w:pStyle w:val="ae"/>
        <w:rPr>
          <w:b/>
          <w:bCs/>
          <w:sz w:val="24"/>
          <w:szCs w:val="24"/>
        </w:rPr>
      </w:pPr>
    </w:p>
    <w:p w:rsidR="009D5D8A" w:rsidRDefault="009D5D8A">
      <w:pPr>
        <w:pStyle w:val="ae"/>
        <w:rPr>
          <w:b/>
          <w:bCs/>
          <w:sz w:val="24"/>
          <w:szCs w:val="24"/>
        </w:rPr>
      </w:pPr>
    </w:p>
    <w:p w:rsidR="009D5D8A" w:rsidRDefault="009D5D8A">
      <w:pPr>
        <w:pStyle w:val="ae"/>
        <w:rPr>
          <w:b/>
          <w:bCs/>
          <w:sz w:val="24"/>
          <w:szCs w:val="24"/>
        </w:rPr>
      </w:pPr>
    </w:p>
    <w:p w:rsidR="009D5D8A" w:rsidRDefault="009D5D8A">
      <w:pPr>
        <w:pStyle w:val="ae"/>
        <w:rPr>
          <w:b/>
          <w:bCs/>
          <w:sz w:val="24"/>
          <w:szCs w:val="24"/>
        </w:rPr>
      </w:pPr>
    </w:p>
    <w:p w:rsidR="009D5D8A" w:rsidRDefault="009D5D8A">
      <w:pPr>
        <w:pStyle w:val="ae"/>
        <w:rPr>
          <w:b/>
          <w:bCs/>
          <w:sz w:val="24"/>
          <w:szCs w:val="24"/>
        </w:rPr>
      </w:pPr>
    </w:p>
    <w:p w:rsidR="009D5D8A" w:rsidRDefault="006D0C48">
      <w:pPr>
        <w:pStyle w:val="ae"/>
        <w:ind w:firstLine="709"/>
        <w:jc w:val="center"/>
      </w:pPr>
      <w:r>
        <w:rPr>
          <w:b/>
          <w:bCs/>
          <w:sz w:val="24"/>
          <w:szCs w:val="24"/>
        </w:rPr>
        <w:t xml:space="preserve">Порядок направления пациентов на консультативный прием в областной ревматологический центр (3 уровень) </w:t>
      </w:r>
      <w:r>
        <w:rPr>
          <w:b/>
          <w:sz w:val="24"/>
          <w:szCs w:val="24"/>
        </w:rPr>
        <w:t xml:space="preserve">от ревматолога из </w:t>
      </w:r>
      <w:r>
        <w:rPr>
          <w:b/>
          <w:bCs/>
          <w:sz w:val="24"/>
          <w:szCs w:val="24"/>
        </w:rPr>
        <w:t>медицинских организаций 1 или 2 уровня</w:t>
      </w:r>
    </w:p>
    <w:p w:rsidR="009D5D8A" w:rsidRDefault="009D5D8A">
      <w:pPr>
        <w:pStyle w:val="ae"/>
        <w:ind w:firstLine="709"/>
        <w:jc w:val="center"/>
        <w:rPr>
          <w:b/>
          <w:bCs/>
          <w:sz w:val="24"/>
          <w:szCs w:val="24"/>
        </w:rPr>
      </w:pPr>
    </w:p>
    <w:tbl>
      <w:tblPr>
        <w:tblStyle w:val="af1"/>
        <w:tblW w:w="15168" w:type="dxa"/>
        <w:tblInd w:w="-211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658"/>
        <w:gridCol w:w="1878"/>
        <w:gridCol w:w="1539"/>
        <w:gridCol w:w="5089"/>
        <w:gridCol w:w="6004"/>
      </w:tblGrid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center"/>
            </w:pPr>
            <w:r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Группа заболеваний</w:t>
            </w: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Перечень обязательных обследований при направлении ревматологом из 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t>медицинских межмуниципальных центров или территориальных поликлиник в областной ревматологический центр при направлении ревматологом</w:t>
            </w:r>
          </w:p>
        </w:tc>
      </w:tr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Воспалитель-ные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артропатии</w:t>
            </w: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М06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М07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М08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М10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М13</w:t>
            </w: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>1) впервые выявленное заболевание,</w:t>
            </w:r>
          </w:p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>2) уточнение диагноза или проведение дифференциального диагноза,</w:t>
            </w:r>
          </w:p>
          <w:p w:rsidR="009D5D8A" w:rsidRDefault="006D0C48">
            <w:pPr>
              <w:tabs>
                <w:tab w:val="left" w:pos="993"/>
              </w:tabs>
              <w:spacing w:after="0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отсутствие эффекта от лечения, проводимого в медицинских учреждениях по месту жительства,</w:t>
            </w:r>
          </w:p>
          <w:p w:rsidR="009D5D8A" w:rsidRDefault="006D0C48">
            <w:pPr>
              <w:tabs>
                <w:tab w:val="left" w:pos="993"/>
              </w:tabs>
              <w:spacing w:after="0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возникновение тяжелых системных проявлений заболевания, тяжелых осложнений болезни или медикаментозной терапии,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определение показаний к назначению генно-инженерных биологических препаратов  и мониторинг ответа на лечение генно-инженерными  биологическими препаратами.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(СРБ, ревматоидный фактор, ЦИК), </w:t>
            </w:r>
          </w:p>
          <w:p w:rsidR="009D5D8A" w:rsidRDefault="006D0C4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5) R-графия  кистей и стоп,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6) анализы крови на гепатиты при первичной диагностике,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7) УЗИ органов брюшной полости(в течение 6 месяцев),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8) ВИЧ  при первичной диагностике (в течение последних 6 месяцев),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9)  Флюорография легких (в течение года).</w:t>
            </w:r>
          </w:p>
        </w:tc>
      </w:tr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Спондилопатии</w:t>
            </w: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М45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М46.8</w:t>
            </w: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>1) впервые выявленное заболевание,</w:t>
            </w:r>
          </w:p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>2) уточнение диагноза или проведение дифференциального диагноза,</w:t>
            </w:r>
          </w:p>
          <w:p w:rsidR="009D5D8A" w:rsidRDefault="006D0C48">
            <w:pPr>
              <w:tabs>
                <w:tab w:val="left" w:pos="993"/>
              </w:tabs>
              <w:spacing w:after="0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отсутствие эффекта от лечения, проводимого в медицинских учреждениях по месту жительства,</w:t>
            </w:r>
          </w:p>
          <w:p w:rsidR="009D5D8A" w:rsidRDefault="006D0C48">
            <w:pPr>
              <w:tabs>
                <w:tab w:val="left" w:pos="993"/>
              </w:tabs>
              <w:spacing w:after="0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возникновение тяжелых системных проявлений заболевания, тяжелых осложнений болезни или медикаментозной терапии,</w:t>
            </w:r>
          </w:p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5) определение показаний к назначению генно-инженерных биологических препаратов  и мониторинг ответа на лечение генно-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инженерными  биологическими препаратами.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иммунология (СРБ, ревматоидный фактор, ЦИК),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R-графия таза,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6) R-графия  позвоночника,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7) R-графия  кистей и стоп (при наличии периферических артритов),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8) анализы крови на гепатиты при первичной диагностике,</w:t>
            </w:r>
          </w:p>
          <w:p w:rsidR="009D5D8A" w:rsidRDefault="006D0C4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9) ВИЧ  при первичной диагностике (в течение последних 6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10)  Флюорография легких (в течение года).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Системные поражения соединительной ткани 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 30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 31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М33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М34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М35</w:t>
            </w:r>
          </w:p>
          <w:p w:rsidR="009D5D8A" w:rsidRDefault="009D5D8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впервые выявленное заболевание,</w:t>
            </w:r>
          </w:p>
          <w:p w:rsidR="009D5D8A" w:rsidRDefault="006D0C48">
            <w:pPr>
              <w:pStyle w:val="a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уточнение диагноза или проведение дифференциального диагноза,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отсутствие эффекта от лечения, проводимого в медицинских учреждениях по месту жительства,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возникновение тяжелых системных проявлений заболевания, тяжелых осложнений болезни или медикаментозной терапии,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определение показаний к назначению, коррекция лечения и мониторинг ответа на лечение у пациентов, получающих генно-инженерные биологические препараты,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в период подбора базисной терапии и ее коррекции у пациентов с высокой степенью активности,</w:t>
            </w:r>
          </w:p>
          <w:p w:rsidR="009D5D8A" w:rsidRDefault="006D0C48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высокая и средняя активность заболевания, требующая приема высоких и средних доз глюкокортикоидов и/или введения циклофосфамида.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суточная протеинурия,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4) анализ мочи по Нечипоренко,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5) б\х (общий белок, креатинин, АСТ, АЛТ, глюкоза, холестерин, мочевая кислота),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6) иммунология (СРБ, ЦИК, криоглбулины),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7) анализы крови на гепатиты при первичной диагностике, 8) ЭКГ,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9) УЗИ брюшной полости,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10) ЭХО-КГ,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11) R-графия  грудной клетки.</w:t>
            </w:r>
          </w:p>
        </w:tc>
      </w:tr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Остеопороз</w:t>
            </w: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М80 - М81</w:t>
            </w: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 xml:space="preserve">1) тяжелый остеопороз для решения вопроса о назначении </w:t>
            </w:r>
            <w:r>
              <w:rPr>
                <w:sz w:val="24"/>
                <w:szCs w:val="24"/>
              </w:rPr>
              <w:t>и продлении лечения препаратами, вводимыми в дневных стационарах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9D5D8A" w:rsidRDefault="006D0C48">
            <w:pPr>
              <w:pStyle w:val="ae"/>
            </w:pPr>
            <w:r>
              <w:rPr>
                <w:rFonts w:eastAsiaTheme="minorEastAsia"/>
                <w:sz w:val="24"/>
                <w:szCs w:val="24"/>
              </w:rPr>
              <w:t>2) уточнение диагноза или проведение дифференциального диагноза.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кальций, фосфор, щелочная фосфатаза),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 денситометрия,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R-графия  позвоночника при боли в спине.</w:t>
            </w:r>
          </w:p>
        </w:tc>
      </w:tr>
      <w:tr w:rsidR="009D5D8A">
        <w:tc>
          <w:tcPr>
            <w:tcW w:w="65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878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Несовершен-ный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остеогенез</w:t>
            </w:r>
          </w:p>
        </w:tc>
        <w:tc>
          <w:tcPr>
            <w:tcW w:w="153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Q78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508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уточнение диагноза,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 назначение терапии, </w:t>
            </w:r>
          </w:p>
          <w:p w:rsidR="009D5D8A" w:rsidRDefault="006D0C48">
            <w:pPr>
              <w:widowControl w:val="0"/>
              <w:spacing w:after="0" w:line="240" w:lineRule="auto"/>
              <w:textAlignment w:val="baseline"/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3) мониторирование лечения один раз в 6 месяцев.</w:t>
            </w:r>
          </w:p>
        </w:tc>
        <w:tc>
          <w:tcPr>
            <w:tcW w:w="6004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1) ОАК,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2) ОАМ,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 б\х (общий белок, креатинин, АСТ, АЛТ, глюкоза, холестерин, кальций, фосфор, щелочная фосфатаза),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  денситометрия,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5) R-графия  позвоночника при боли в спине.</w:t>
            </w:r>
          </w:p>
        </w:tc>
      </w:tr>
    </w:tbl>
    <w:p w:rsidR="009D5D8A" w:rsidRDefault="009D5D8A">
      <w:pPr>
        <w:pStyle w:val="ae"/>
        <w:ind w:firstLine="709"/>
        <w:jc w:val="right"/>
        <w:rPr>
          <w:bCs/>
          <w:sz w:val="24"/>
          <w:szCs w:val="24"/>
        </w:rPr>
      </w:pPr>
    </w:p>
    <w:p w:rsidR="009D5D8A" w:rsidRDefault="006D0C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для диспансерного наблюдения пациентов в медицинских организациях первого уровня врачом-терапевтом, врачом общей практики (при отсутствии ревматолога) </w:t>
      </w:r>
    </w:p>
    <w:p w:rsidR="009D5D8A" w:rsidRDefault="009D5D8A">
      <w:pPr>
        <w:pStyle w:val="ae"/>
        <w:ind w:firstLine="709"/>
        <w:rPr>
          <w:sz w:val="24"/>
          <w:szCs w:val="24"/>
        </w:rPr>
      </w:pPr>
    </w:p>
    <w:tbl>
      <w:tblPr>
        <w:tblStyle w:val="2"/>
        <w:tblW w:w="15026" w:type="dxa"/>
        <w:tblInd w:w="-69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684"/>
        <w:gridCol w:w="2093"/>
        <w:gridCol w:w="1246"/>
        <w:gridCol w:w="3527"/>
        <w:gridCol w:w="1815"/>
        <w:gridCol w:w="5661"/>
      </w:tblGrid>
      <w:tr w:rsidR="009D5D8A">
        <w:tc>
          <w:tcPr>
            <w:tcW w:w="68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9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246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заболе-вания по МКБ-10</w:t>
            </w:r>
          </w:p>
        </w:tc>
        <w:tc>
          <w:tcPr>
            <w:tcW w:w="352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Показания для диспансерного наблюдения по месту жительства  (1 уровень, врач первичного звена)</w:t>
            </w:r>
          </w:p>
        </w:tc>
        <w:tc>
          <w:tcPr>
            <w:tcW w:w="1815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Кратность посещения в год</w:t>
            </w:r>
          </w:p>
        </w:tc>
        <w:tc>
          <w:tcPr>
            <w:tcW w:w="566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проводимых исследований в медицинских организациях (1 уровень)</w:t>
            </w:r>
          </w:p>
        </w:tc>
      </w:tr>
      <w:tr w:rsidR="009D5D8A">
        <w:tc>
          <w:tcPr>
            <w:tcW w:w="68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Воспалительные артропати,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спондилопатии,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поражения соединительной ткани. 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М02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М06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М07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М08.2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М10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М13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М46.8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М30 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М32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М33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М34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М35</w:t>
            </w:r>
          </w:p>
        </w:tc>
        <w:tc>
          <w:tcPr>
            <w:tcW w:w="352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Лечение по рекомендации ревматолога, контроль состояния (оценка адекватности и профиля безопасности проводимой терапии).</w:t>
            </w:r>
          </w:p>
        </w:tc>
        <w:tc>
          <w:tcPr>
            <w:tcW w:w="1815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высокой и умеренной активности заболевания 1 раз в 1-3 месяца; при низкой активности и ремиссии 1 раз в 6-12 месяцев.</w:t>
            </w:r>
          </w:p>
        </w:tc>
        <w:tc>
          <w:tcPr>
            <w:tcW w:w="566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 (кратность 1 раз в  1-3 месяца при высокой активности, 1 раз в 6-12 месяцев при низкой активности и ремиссии),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ОАМ (кратность 1 раз в  1-3 месяца при высокой активности, 1 раз в 6-12 месяцев при низкой активности и ремиссии),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б\х (общий белок - 1 раз  в 3-6 месяцев,  креатинин, АСТ, АЛТ  -  1 раз в  1-3 месяца при высокой активности,  1 раз в 6-12 месяцев при низкой активности и ремиссии,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глюкоза, холестерин, мочевая кислота  - 1 раз  в 6-12 месяцев),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иммунология (СРБ)  1 раз в 3-6 месяцев,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ФГДС 1 раз в год,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  Рентгенография  кистей и стоп,   кратность  1 раз в 1-2 года.</w:t>
            </w:r>
          </w:p>
        </w:tc>
      </w:tr>
      <w:tr w:rsidR="009D5D8A">
        <w:tc>
          <w:tcPr>
            <w:tcW w:w="68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Остеопороз</w:t>
            </w:r>
          </w:p>
        </w:tc>
        <w:tc>
          <w:tcPr>
            <w:tcW w:w="1246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М80 - М81</w:t>
            </w:r>
          </w:p>
        </w:tc>
        <w:tc>
          <w:tcPr>
            <w:tcW w:w="352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лечения.</w:t>
            </w:r>
          </w:p>
        </w:tc>
        <w:tc>
          <w:tcPr>
            <w:tcW w:w="1815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566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 (1 раз в год),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ОАМ( 1 раз в год),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б\х (общий белок, креатинин, АСТ, АЛТ, глюкоза, кальций, фосфор, щелочная фосфатаза)  1 раз в год.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8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Несовершенный остеогенез</w:t>
            </w:r>
          </w:p>
        </w:tc>
        <w:tc>
          <w:tcPr>
            <w:tcW w:w="1246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352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Лечение по рекомендации ревматолога, контроль состояния (оценка адекватности и профиля безопасности проводимой терапии).</w:t>
            </w:r>
          </w:p>
        </w:tc>
        <w:tc>
          <w:tcPr>
            <w:tcW w:w="1815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566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ОАК, 1 раз в 6 месяцев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ОАМ, 1 раз в 6 месяцев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б\х (общий белок, креатинин, АСТ, АЛТ, глюкоза, кальций, фосфор, щелочная фосфатаза) 1 раз в 6 месяцев</w:t>
            </w:r>
          </w:p>
        </w:tc>
      </w:tr>
    </w:tbl>
    <w:p w:rsidR="009D5D8A" w:rsidRDefault="009D5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5D8A" w:rsidRDefault="009D5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5D8A" w:rsidRDefault="006D0C48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Показания для диспансерного наблюдения пациентов   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ревматолога</w:t>
      </w:r>
    </w:p>
    <w:p w:rsidR="009D5D8A" w:rsidRDefault="006D0C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 уровень)</w:t>
      </w:r>
    </w:p>
    <w:p w:rsidR="009D5D8A" w:rsidRDefault="009D5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W w:w="15026" w:type="dxa"/>
        <w:tblInd w:w="-69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672"/>
        <w:gridCol w:w="2872"/>
        <w:gridCol w:w="1107"/>
        <w:gridCol w:w="3450"/>
        <w:gridCol w:w="1935"/>
        <w:gridCol w:w="4990"/>
      </w:tblGrid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2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10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заболе-вания по МКБ-10</w:t>
            </w:r>
          </w:p>
        </w:tc>
        <w:tc>
          <w:tcPr>
            <w:tcW w:w="3450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Показания для диспансерного наблюдения в медицинском межмуниципальном центре и территориальной поликлинике ревматологом и рекомендуемый перечень обследований (2 уровень, ревматолог)</w:t>
            </w:r>
          </w:p>
        </w:tc>
        <w:tc>
          <w:tcPr>
            <w:tcW w:w="1935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Кратность посещения в год</w:t>
            </w:r>
          </w:p>
        </w:tc>
        <w:tc>
          <w:tcPr>
            <w:tcW w:w="4990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проводимых исследований в медицинских организациях (2 уровень)</w:t>
            </w: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2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Воспалительные артропатии, спондилопатии.</w:t>
            </w:r>
          </w:p>
        </w:tc>
        <w:tc>
          <w:tcPr>
            <w:tcW w:w="110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М02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М06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М07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М10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М13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М46.8</w:t>
            </w:r>
          </w:p>
        </w:tc>
        <w:tc>
          <w:tcPr>
            <w:tcW w:w="3450" w:type="dxa"/>
            <w:shd w:val="clear" w:color="auto" w:fill="auto"/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состояния (оценка адекватности и профиля безопасности проводимой терапии) и коррекция терапии у пациентов с установленным диагнозом.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shd w:val="clear" w:color="auto" w:fill="auto"/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высокой и умеренной активности заболевания 1 раз в 1-3 месяца; при минимальной активности и ремиссии 1 раз в 6-12 месяцев.</w:t>
            </w:r>
          </w:p>
        </w:tc>
        <w:tc>
          <w:tcPr>
            <w:tcW w:w="4990" w:type="dxa"/>
            <w:shd w:val="clear" w:color="auto" w:fill="auto"/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 (кратность 1 раз в  1-3 месяца при высокой активности,   1 раз в 6-12 месяцев при низкой активности и ремиссии),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ОАМ (кратность 1 раз в  1-3 месяца  при высокой активности,  1 раз в 6-12 месяцев при низкой активности и ремиссии),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б\х (общий белок -  1 раз  в 3-6 месяцев,  креатинин, АСТ, АЛТ -  1 раз в  1-3 месяца  при высокой активности,  1 раз в 6-12 месяцев при низкой активности и ремиссии,  глюкоза, холестерин, мочевая кислота  1 раз  в 6-12 месяцев),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иммунология (СРБ, ЦИК - 1 раз в 3-6 мес),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R-графия  грудной клетки один раз в год, 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R-графия  суставов и/или позвоночника 1 раз в год,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ФГДС один раз в год, 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УЗИ брюшной полости один раз в год.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872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поражения соединительной ткани 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М30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М31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М32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М33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М34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М35</w:t>
            </w:r>
          </w:p>
        </w:tc>
        <w:tc>
          <w:tcPr>
            <w:tcW w:w="3450" w:type="dxa"/>
            <w:shd w:val="clear" w:color="auto" w:fill="auto"/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состояния (оценка адекватности и профиля безопасности проводимой терапии) и коррекция терапии у пациентов с установленным диагнозом.</w:t>
            </w: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shd w:val="clear" w:color="auto" w:fill="auto"/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высокой и умеренной активности заболевания 1 раз в 1-3 месяца; при минимальной активности и ремиссии 1 раз в 6-12 месяцев.</w:t>
            </w:r>
          </w:p>
        </w:tc>
        <w:tc>
          <w:tcPr>
            <w:tcW w:w="4990" w:type="dxa"/>
            <w:shd w:val="clear" w:color="auto" w:fill="auto"/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 (кратность 1 раз в  1-3 месяца при высокой активности,  при низкой активности и ремиссии - 1 раз в 6-12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ОАМ (кратность 1 раз в  1-3 месяца при высокой активности,  при низкой активности и ремиссии 1 раз в 6-12 месяцев),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б\х (общий белок  1 раз  в 3-6 месяцев,  креатинин, АСТ, АЛТ  -  1 раз в  1-3 месяца,  при высокой активности,  1 раз в 6-12 месяцев при низкой активности и ремиссии, глюкоза, холестерин, мочевая кислота  1 раз  в 6-12 месяцев),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суточная протеинурия по показаниям,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анализ мочи по Нечипоренко по показаниям,  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иммунология (СРБ, ЦИК 1 раз в 3 мес),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R-графия  грудной клетки один раз в год, 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ФГДС один раз в год,  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УЗИ брюшной полости один раз в год,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антитела к ДНК,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-клетки для пациентов с системной красной волчанкой  при высокой и средней активности 1 раз в 3 мес, при низкой активности и ремиссии 1 раз в 6 мес.),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ЭХО-КГ для пациентов с системной красной волчанкой, дерматополимиозитом, системным склерозом 1 раз в год,</w:t>
            </w:r>
          </w:p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12) КТ грудной клетки при поражении легких.</w:t>
            </w: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Несовершенный остеогенез</w:t>
            </w:r>
          </w:p>
        </w:tc>
        <w:tc>
          <w:tcPr>
            <w:tcW w:w="1107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3450" w:type="dxa"/>
            <w:shd w:val="clear" w:color="auto" w:fill="auto"/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 безопасности проводимой терапии.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6 месяцев</w:t>
            </w:r>
          </w:p>
        </w:tc>
        <w:tc>
          <w:tcPr>
            <w:tcW w:w="4990" w:type="dxa"/>
            <w:shd w:val="clear" w:color="auto" w:fill="auto"/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ОАК 1 раз в 6 мес,</w:t>
            </w:r>
          </w:p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ОАМ 1 раз в 6 мес, </w:t>
            </w:r>
          </w:p>
          <w:p w:rsidR="009D5D8A" w:rsidRDefault="006D0C4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б\х (общий белок, креатинин, АСТ, АЛТ, глюкоза, кальций, фосфор, щелочная фосфатаза)  1 раз в 6 мес,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денситометрия один раз в год, 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R-графия  позвоночника при боли в спине.</w:t>
            </w:r>
          </w:p>
        </w:tc>
      </w:tr>
    </w:tbl>
    <w:p w:rsidR="009D5D8A" w:rsidRDefault="009D5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D8A" w:rsidRDefault="009D5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D8A" w:rsidRDefault="006D0C48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Показания для диспансерного наблюдения пациентов в областном ревматологическом центре (3 уровень)</w:t>
      </w:r>
    </w:p>
    <w:p w:rsidR="009D5D8A" w:rsidRDefault="009D5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2"/>
        <w:tblW w:w="15026" w:type="dxa"/>
        <w:tblInd w:w="-69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672"/>
        <w:gridCol w:w="2023"/>
        <w:gridCol w:w="1559"/>
        <w:gridCol w:w="2977"/>
        <w:gridCol w:w="1844"/>
        <w:gridCol w:w="5951"/>
      </w:tblGrid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2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заболевания по МКБ-10</w:t>
            </w:r>
          </w:p>
        </w:tc>
        <w:tc>
          <w:tcPr>
            <w:tcW w:w="2977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Показания для диспансерного наблюдения в областном ревматологическом центре</w:t>
            </w:r>
          </w:p>
        </w:tc>
        <w:tc>
          <w:tcPr>
            <w:tcW w:w="1844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Кратность посещения в год</w:t>
            </w:r>
          </w:p>
        </w:tc>
        <w:tc>
          <w:tcPr>
            <w:tcW w:w="5951" w:type="dxa"/>
            <w:shd w:val="clear" w:color="auto" w:fill="auto"/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проводимых исследований (3 уровень)</w:t>
            </w: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Ревматоидный артрит, псориатические  артропатии, анкилозирующий спондилит, периферический спондилоартрит.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М05</w:t>
            </w:r>
          </w:p>
          <w:p w:rsidR="009D5D8A" w:rsidRDefault="006D0C4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М06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М07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М08.2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М45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М46.8</w:t>
            </w:r>
          </w:p>
        </w:tc>
        <w:tc>
          <w:tcPr>
            <w:tcW w:w="2977" w:type="dxa"/>
            <w:shd w:val="clear" w:color="auto" w:fill="auto"/>
          </w:tcPr>
          <w:p w:rsidR="009D5D8A" w:rsidRDefault="006D0C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эффективности и безопасности лечения генно-инженерными биологическими препаратами.</w:t>
            </w:r>
          </w:p>
          <w:p w:rsidR="009D5D8A" w:rsidRDefault="009D5D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6 месяцев</w:t>
            </w:r>
          </w:p>
          <w:p w:rsidR="009D5D8A" w:rsidRDefault="009D5D8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1" w:type="dxa"/>
            <w:shd w:val="clear" w:color="auto" w:fill="auto"/>
          </w:tcPr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8A" w:rsidRDefault="009D5D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поражения соединительной ткани 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М30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М31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М32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М33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М34</w:t>
            </w:r>
          </w:p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М35</w:t>
            </w: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D5D8A" w:rsidRDefault="006D0C48">
            <w:pPr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состояния, оценка активности заболевания и профиля безопасности проводимой терапии, коррекция терапии при высокой и умеренной активности заболевания.</w:t>
            </w:r>
          </w:p>
          <w:p w:rsidR="009D5D8A" w:rsidRDefault="009D5D8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высокой и умеренной активности в период подбора базисной терапии 1 раз в 1-3 месяца</w:t>
            </w:r>
          </w:p>
        </w:tc>
        <w:tc>
          <w:tcPr>
            <w:tcW w:w="5951" w:type="dxa"/>
            <w:shd w:val="clear" w:color="auto" w:fill="auto"/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иммунология (СРБ, ЦИК, ENA, АКЛ,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комплемент, антитела к ДНК).</w:t>
            </w:r>
          </w:p>
          <w:p w:rsidR="009D5D8A" w:rsidRDefault="006D0C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ЭХО-КГ по показаниям,</w:t>
            </w:r>
          </w:p>
          <w:p w:rsidR="009D5D8A" w:rsidRDefault="006D0C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 грудной клетки и брюшной полости по показаниям.</w:t>
            </w: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Остеопороз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М80 - М81</w:t>
            </w:r>
          </w:p>
        </w:tc>
        <w:tc>
          <w:tcPr>
            <w:tcW w:w="2977" w:type="dxa"/>
            <w:shd w:val="clear" w:color="auto" w:fill="auto"/>
          </w:tcPr>
          <w:p w:rsidR="009D5D8A" w:rsidRDefault="006D0C4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лечения препаратами, вводимыми в дневных стационарах.</w:t>
            </w: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9D5D8A" w:rsidRDefault="006D0C4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5951" w:type="dxa"/>
            <w:shd w:val="clear" w:color="auto" w:fill="auto"/>
          </w:tcPr>
          <w:p w:rsidR="009D5D8A" w:rsidRDefault="006D0C4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денситометрия один раз в год. </w:t>
            </w:r>
          </w:p>
          <w:p w:rsidR="009D5D8A" w:rsidRDefault="009D5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D8A">
        <w:tc>
          <w:tcPr>
            <w:tcW w:w="671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3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Несовершенный остеогенез</w:t>
            </w:r>
          </w:p>
        </w:tc>
        <w:tc>
          <w:tcPr>
            <w:tcW w:w="1559" w:type="dxa"/>
            <w:shd w:val="clear" w:color="auto" w:fill="auto"/>
            <w:tcMar>
              <w:left w:w="73" w:type="dxa"/>
            </w:tcMar>
          </w:tcPr>
          <w:p w:rsidR="009D5D8A" w:rsidRDefault="006D0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2977" w:type="dxa"/>
            <w:shd w:val="clear" w:color="auto" w:fill="auto"/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Мониторирование состояния и коррекция лечения. 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:rsidR="009D5D8A" w:rsidRDefault="006D0C48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раз в 6 месяцев</w:t>
            </w:r>
          </w:p>
        </w:tc>
        <w:tc>
          <w:tcPr>
            <w:tcW w:w="5951" w:type="dxa"/>
            <w:shd w:val="clear" w:color="auto" w:fill="auto"/>
          </w:tcPr>
          <w:p w:rsidR="009D5D8A" w:rsidRDefault="006D0C4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денситометрия один раз в год.</w:t>
            </w:r>
          </w:p>
          <w:p w:rsidR="009D5D8A" w:rsidRDefault="009D5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D8A" w:rsidRDefault="009D5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250" w:rsidRDefault="00516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D8A" w:rsidRDefault="006D0C48">
      <w:pPr>
        <w:tabs>
          <w:tab w:val="left" w:pos="680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Маршрутизация пациентов</w:t>
      </w:r>
    </w:p>
    <w:p w:rsidR="009D5D8A" w:rsidRDefault="009D5D8A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1"/>
        <w:tblW w:w="14850" w:type="dxa"/>
        <w:tblInd w:w="133" w:type="dxa"/>
        <w:tblCellMar>
          <w:left w:w="104" w:type="dxa"/>
        </w:tblCellMar>
        <w:tblLook w:val="04A0" w:firstRow="1" w:lastRow="0" w:firstColumn="1" w:lastColumn="0" w:noHBand="0" w:noVBand="1"/>
      </w:tblPr>
      <w:tblGrid>
        <w:gridCol w:w="4934"/>
        <w:gridCol w:w="4966"/>
        <w:gridCol w:w="4950"/>
      </w:tblGrid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Медицинские организации, оказывающие первичную медико-санитарную помощь (терапевт, врач ОВП)  амбулаторных условиях (1 уровень)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Межмуниципальные медицинские центры, медицинские организации, оказывающие первичную специализированную помощь в условиях консультативно-диагностической поликлиники, отделения, приема (организован прием ревматолога)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Областной ревматологический центр</w:t>
            </w:r>
          </w:p>
          <w:p w:rsidR="009D5D8A" w:rsidRDefault="006D0C4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(3 уровень)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ГАУЗ СО «Краснотурьинская ГБ»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ГБУЗ СО «Карпинская ЦГБ» 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ГБУЗ СО «Волчанская ГБ»</w:t>
            </w:r>
          </w:p>
          <w:p w:rsidR="009D5D8A" w:rsidRDefault="006D0C48">
            <w:pPr>
              <w:spacing w:after="0" w:line="240" w:lineRule="auto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«Североуральская ЦГБ»</w:t>
            </w:r>
          </w:p>
          <w:p w:rsidR="009D5D8A" w:rsidRDefault="006D0C48">
            <w:pPr>
              <w:spacing w:after="0" w:line="240" w:lineRule="auto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«Ивдельская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«Новолялинская РБ»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ГАУЗ СО «Краснотурьинская ГБ»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«Ирбитская ЦГБ»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ГБУЗ СО «Туринская ЦРБ им.О.Д. Зубова»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ГБУЗ СО «Тавдинская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Байкаловская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Слободо-Туринская РБ»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«Ирбитская ЦГБ»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 w:rsidP="00A6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ГБУЗ СО «ГБ город Каменск-Уральский» 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город Каменск-Уральский»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A6080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  <w:r w:rsidR="006D0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 СО «ГБ город Асбест»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«Малышевская 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«Рефтинская 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«Белоярская ЦРБ»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ФБУЗ МСЧ № 32 ФМБА России 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ГАУЗ СО «Сухоложская РБ»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A60805" w:rsidP="00A6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  <w:r w:rsidR="006D0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 СО «ГБ город Асбест»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№ 4 г. Нижний Тагил»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№ 1 г. Нижний Тагил»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«ГП № 3 г. Нижний Тагил»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«ГП № 4 г. Нижний Тагил»</w:t>
            </w:r>
          </w:p>
          <w:p w:rsidR="009D5D8A" w:rsidRDefault="00A6080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«Горноуральская РП</w:t>
            </w:r>
            <w:r w:rsidR="006D0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D5D8A" w:rsidRDefault="009D5D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D5D8A" w:rsidRDefault="009D5D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«Демидовская ГБ»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город Первоуральск»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«Ревдинская 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«Шалинская ЦГБ»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город Первоуральск»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ГБУЗ СО «Березовская ЦГБ»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«Березовская ЦГБ»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rPr>
                <w:rFonts w:eastAsia="Times New Roman" w:cs="Arial"/>
                <w:bCs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ФГБУЗ «ЦМСЧ № 91» ФМБА России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ФГБУЗ «ЦМСЧ № 91» ФМБА России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rPr>
                <w:rFonts w:eastAsia="Times New Roman" w:cs="Arial"/>
                <w:bCs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ФГБУЗ «ЦМСЧ № 31» ФМБА России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ФГБУЗ «ЦМСЧ № 31» ФМБА России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rPr>
                <w:rFonts w:eastAsia="Times New Roman" w:cs="Arial"/>
                <w:bCs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  <w:tr w:rsidR="009D5D8A">
        <w:tc>
          <w:tcPr>
            <w:tcW w:w="49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«Серовская ГБ»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«ЦРБ Верхотурского района»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«Талицкая ЦРБ»</w:t>
            </w:r>
          </w:p>
          <w:p w:rsidR="009D5D8A" w:rsidRDefault="006D0C4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Тугулымская ЦРБ»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Алапаевская 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Алапаевская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«Артемовская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ГАУЗ СО «Режевская ЦРБ»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«Махневская РБ»</w:t>
            </w:r>
          </w:p>
          <w:p w:rsidR="009D5D8A" w:rsidRDefault="006D0C4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Богдановичская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Камышловская ЦРБ»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«Пышминская ЦРБ»</w:t>
            </w:r>
          </w:p>
          <w:p w:rsidR="009D5D8A" w:rsidRDefault="00C13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  <w:bookmarkStart w:id="1" w:name="_GoBack"/>
            <w:bookmarkEnd w:id="1"/>
            <w:r w:rsidR="006D0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 СО «Сысертская ЦРБ»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«Верхнесалдинская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«Нижнесалдинская ЦГБ»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«ГБ ЗАТО Свободный»</w:t>
            </w:r>
          </w:p>
          <w:p w:rsidR="009D5D8A" w:rsidRDefault="006D0C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Нижнетуринская ЦГБ»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Качканарская ЦГБ»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«ЦГБ город Кушва»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«ЦГБ г. Верхняя 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«Красноуральская ГБ»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«Невьянская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г. Верхний Тагил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«Кировградская ЦГБ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«Нижнесергинская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«Бисертская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«Артинская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«Дегтярская ГБ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«Красноуфимская 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СО «Ачитская ЦРБ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«Верхнепышминская ЦГБ им. П.Д. Бородина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D5D8A" w:rsidRDefault="006D0C48">
            <w:pPr>
              <w:spacing w:after="0" w:line="240" w:lineRule="auto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«Верх-Нейвинская ГП»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«Арамильская ГБ»</w:t>
            </w:r>
          </w:p>
          <w:p w:rsidR="009D5D8A" w:rsidRDefault="006D0C48">
            <w:pPr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ГБУЗ СО «Полевская ЦГБ»</w:t>
            </w:r>
          </w:p>
        </w:tc>
        <w:tc>
          <w:tcPr>
            <w:tcW w:w="4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lastRenderedPageBreak/>
              <w:t>ГБУЗ СО «СОКБ №1»</w:t>
            </w:r>
          </w:p>
        </w:tc>
        <w:tc>
          <w:tcPr>
            <w:tcW w:w="4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9D5D8A" w:rsidRDefault="006D0C48">
            <w:pPr>
              <w:rPr>
                <w:rFonts w:eastAsia="Times New Roman" w:cs="Arial"/>
                <w:bCs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szCs w:val="18"/>
                <w:lang w:eastAsia="ru-RU"/>
              </w:rPr>
              <w:t>ГБУЗ СО «СОКБ №1»</w:t>
            </w:r>
          </w:p>
        </w:tc>
      </w:tr>
    </w:tbl>
    <w:p w:rsidR="009D5D8A" w:rsidRDefault="009D5D8A">
      <w:pPr>
        <w:widowControl w:val="0"/>
        <w:spacing w:after="0" w:line="299" w:lineRule="exact"/>
        <w:jc w:val="both"/>
      </w:pPr>
    </w:p>
    <w:p w:rsidR="00516250" w:rsidRDefault="00516250">
      <w:pPr>
        <w:widowControl w:val="0"/>
        <w:spacing w:after="0" w:line="299" w:lineRule="exact"/>
        <w:jc w:val="both"/>
      </w:pPr>
    </w:p>
    <w:p w:rsidR="00516250" w:rsidRDefault="00516250">
      <w:pPr>
        <w:widowControl w:val="0"/>
        <w:spacing w:after="0" w:line="299" w:lineRule="exact"/>
        <w:jc w:val="both"/>
      </w:pPr>
    </w:p>
    <w:p w:rsidR="00516250" w:rsidRPr="00516250" w:rsidRDefault="00516250" w:rsidP="00516250">
      <w:pPr>
        <w:spacing w:after="160" w:line="259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1625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Перечень приоритетных показаний для телемедицинского консультирования взрослых больных ревматическими болезнями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Pr="00516250">
        <w:rPr>
          <w:rFonts w:ascii="Times New Roman" w:hAnsi="Times New Roman" w:cs="Times New Roman"/>
          <w:b/>
          <w:color w:val="auto"/>
          <w:sz w:val="24"/>
          <w:szCs w:val="24"/>
        </w:rPr>
        <w:t>в консультативно-диагностической поликлинике ГБУЗ СО «Свердловская областная клиническая больница №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16250">
        <w:rPr>
          <w:rFonts w:ascii="Times New Roman" w:hAnsi="Times New Roman" w:cs="Times New Roman"/>
          <w:b/>
          <w:color w:val="auto"/>
          <w:sz w:val="24"/>
          <w:szCs w:val="24"/>
        </w:rPr>
        <w:t>1»</w:t>
      </w:r>
    </w:p>
    <w:p w:rsidR="00516250" w:rsidRPr="00516250" w:rsidRDefault="00516250" w:rsidP="00516250">
      <w:pPr>
        <w:spacing w:after="160" w:line="259" w:lineRule="auto"/>
        <w:rPr>
          <w:rFonts w:cs="Calibri"/>
          <w:color w:val="auto"/>
        </w:rPr>
      </w:pPr>
    </w:p>
    <w:tbl>
      <w:tblPr>
        <w:tblStyle w:val="4"/>
        <w:tblW w:w="14992" w:type="dxa"/>
        <w:tblLook w:val="04A0" w:firstRow="1" w:lastRow="0" w:firstColumn="1" w:lastColumn="0" w:noHBand="0" w:noVBand="1"/>
      </w:tblPr>
      <w:tblGrid>
        <w:gridCol w:w="845"/>
        <w:gridCol w:w="3827"/>
        <w:gridCol w:w="10320"/>
      </w:tblGrid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Ревматологическое заболевание</w:t>
            </w: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Показания для телемедицинской консультации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Уточненное ранее воспалительное  ревматологическое заболевание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М05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М06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М07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М08.2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М10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М11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М13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М45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М46.8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М30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М31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М33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М34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М35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Необходимость неотложной консультации при обострении для амбулаторных пациентов,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Пациенты, находящиеся на стационарном лечении с обострением заболевания,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Продолжение базисной терапии при низкой активности болезни (один раз в 6 месяцев),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Коррекция базисной терапии при сохранении активности болезни, нарастании активности болезни или плохой переносимости текущей базисной терапии,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Оценка  активности болезни в динамике и коррекция терапии, назначенной ревматологом ГБУЗ СО СОКБ№1 через 1 – 3 месяца после консультации при наличии соответствующих  рекомендаций,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Повторная консультация после дообследования по месту жительства, проведенного по рекомендации ревматолога областной КДП,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Повторная телемедицинская консультация после получения результатов анализов  иммунологической лаборатории ГБУЗ СО СОКБ №1,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Консультация перед медико-социальной экспертизой у пациентов с нарушением функции ходьбы и ограничением самостоятельного передвижения,</w:t>
            </w:r>
          </w:p>
          <w:p w:rsidR="00516250" w:rsidRPr="00516250" w:rsidRDefault="00516250" w:rsidP="0051625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Пациенты с нарушением функции ходьбы и ограничением самостоятельного передвижения. 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Подозрение на воспалительное ревматическое заболевание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М02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М05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М06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М07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М08.2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М10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М11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М13</w:t>
            </w:r>
          </w:p>
          <w:p w:rsidR="00516250" w:rsidRPr="00516250" w:rsidRDefault="00516250" w:rsidP="00516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М45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М46.8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М30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М31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М32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М33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М34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М35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Уточнение диагноза, дифференциальный диагноз, назначение терапии, определение показаний для консультации ревматолога областной КДП,</w:t>
            </w:r>
          </w:p>
          <w:p w:rsidR="00516250" w:rsidRPr="00516250" w:rsidRDefault="00516250" w:rsidP="005162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Пациенты, находящиеся на стационарном лечении по месту жительства с подозрением на ревматическое заболевание,</w:t>
            </w:r>
          </w:p>
          <w:p w:rsidR="00516250" w:rsidRPr="00516250" w:rsidRDefault="00516250" w:rsidP="005162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Пациенты с нарушением функции ходьбы и ограничением самостоятельного передвижения,</w:t>
            </w:r>
          </w:p>
          <w:p w:rsidR="00516250" w:rsidRPr="00516250" w:rsidRDefault="00516250" w:rsidP="005162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Повторная консультация после дообследования по месту жительства, проведенного по рекомендации ревматолога областной КДП,</w:t>
            </w:r>
          </w:p>
          <w:p w:rsidR="00516250" w:rsidRPr="00516250" w:rsidRDefault="00516250" w:rsidP="005162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Повторная телемедицинская консультация после получения результатов анализов  иммунологической лаборатории ГБУЗ СО СОКБ №1.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Остеопороз с впервые устанавливаемым диагнозом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М80- М81</w:t>
            </w: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Уточнение диагноза и проведение дифференциального диагноза,</w:t>
            </w:r>
          </w:p>
          <w:p w:rsidR="00516250" w:rsidRPr="00516250" w:rsidRDefault="00516250" w:rsidP="0051625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терапии, в том числе препаратов, вводимых в дневных стационарах.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Остеопороз с ранее установленным диагнозом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М80- М81</w:t>
            </w: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Оценка динамики, коррекция терапии,</w:t>
            </w:r>
          </w:p>
          <w:p w:rsidR="00516250" w:rsidRPr="00516250" w:rsidRDefault="00516250" w:rsidP="0051625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cs="Calibri"/>
                <w:color w:val="auto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и продление лечения препаратами, вводимыми в дневных стационарах.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Несовершенный остеогенез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Q78</w:t>
            </w: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Уточнение диагноза, </w:t>
            </w:r>
          </w:p>
          <w:p w:rsidR="00516250" w:rsidRPr="00516250" w:rsidRDefault="00516250" w:rsidP="00516250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терапии,</w:t>
            </w:r>
          </w:p>
          <w:p w:rsidR="00516250" w:rsidRPr="00516250" w:rsidRDefault="00516250" w:rsidP="00516250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Мониторирование лечения.</w:t>
            </w:r>
          </w:p>
        </w:tc>
      </w:tr>
      <w:tr w:rsidR="00516250" w:rsidRPr="00516250" w:rsidTr="00516250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Остеоартроз</w:t>
            </w:r>
          </w:p>
          <w:p w:rsidR="00516250" w:rsidRPr="00516250" w:rsidRDefault="00516250" w:rsidP="005162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М80- М81</w:t>
            </w:r>
          </w:p>
        </w:tc>
        <w:tc>
          <w:tcPr>
            <w:tcW w:w="10320" w:type="dxa"/>
            <w:shd w:val="clear" w:color="auto" w:fill="auto"/>
            <w:tcMar>
              <w:left w:w="108" w:type="dxa"/>
            </w:tcMar>
          </w:tcPr>
          <w:p w:rsidR="00516250" w:rsidRPr="00516250" w:rsidRDefault="00516250" w:rsidP="0051625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Дифференциальный диагноз с воспалительными ревматическими заболеваниями,</w:t>
            </w:r>
          </w:p>
          <w:p w:rsidR="00516250" w:rsidRPr="00516250" w:rsidRDefault="00516250" w:rsidP="0051625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6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Неэффективность терапии, проводимой в течении 3 месяцев и более.</w:t>
            </w:r>
          </w:p>
        </w:tc>
      </w:tr>
    </w:tbl>
    <w:p w:rsidR="00516250" w:rsidRPr="00516250" w:rsidRDefault="00516250" w:rsidP="00516250">
      <w:pPr>
        <w:spacing w:after="160" w:line="259" w:lineRule="auto"/>
        <w:rPr>
          <w:rFonts w:cs="Calibri"/>
          <w:color w:val="auto"/>
        </w:rPr>
      </w:pPr>
    </w:p>
    <w:p w:rsidR="00516250" w:rsidRDefault="00516250">
      <w:pPr>
        <w:widowControl w:val="0"/>
        <w:spacing w:after="0" w:line="299" w:lineRule="exact"/>
        <w:jc w:val="both"/>
      </w:pPr>
    </w:p>
    <w:sectPr w:rsidR="00516250">
      <w:headerReference w:type="default" r:id="rId8"/>
      <w:pgSz w:w="16838" w:h="11906" w:orient="landscape"/>
      <w:pgMar w:top="1134" w:right="678" w:bottom="566" w:left="993" w:header="0" w:footer="0" w:gutter="0"/>
      <w:pgNumType w:start="119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F20" w:rsidRDefault="004A0F20">
      <w:pPr>
        <w:spacing w:after="0" w:line="240" w:lineRule="auto"/>
      </w:pPr>
      <w:r>
        <w:separator/>
      </w:r>
    </w:p>
  </w:endnote>
  <w:endnote w:type="continuationSeparator" w:id="0">
    <w:p w:rsidR="004A0F20" w:rsidRDefault="004A0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F20" w:rsidRDefault="004A0F20">
      <w:pPr>
        <w:spacing w:after="0" w:line="240" w:lineRule="auto"/>
      </w:pPr>
      <w:r>
        <w:separator/>
      </w:r>
    </w:p>
  </w:footnote>
  <w:footnote w:type="continuationSeparator" w:id="0">
    <w:p w:rsidR="004A0F20" w:rsidRDefault="004A0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9450234"/>
      <w:docPartObj>
        <w:docPartGallery w:val="Page Numbers (Top of Page)"/>
        <w:docPartUnique/>
      </w:docPartObj>
    </w:sdtPr>
    <w:sdtEndPr/>
    <w:sdtContent>
      <w:p w:rsidR="009D5D8A" w:rsidRDefault="009D5D8A">
        <w:pPr>
          <w:pStyle w:val="af"/>
          <w:jc w:val="center"/>
        </w:pPr>
      </w:p>
      <w:p w:rsidR="009D5D8A" w:rsidRDefault="006D0C48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13661">
          <w:rPr>
            <w:noProof/>
          </w:rPr>
          <w:t>131</w:t>
        </w:r>
        <w:r>
          <w:fldChar w:fldCharType="end"/>
        </w:r>
      </w:p>
    </w:sdtContent>
  </w:sdt>
  <w:p w:rsidR="009D5D8A" w:rsidRDefault="009D5D8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51580"/>
    <w:multiLevelType w:val="multilevel"/>
    <w:tmpl w:val="1518A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73B7A"/>
    <w:multiLevelType w:val="multilevel"/>
    <w:tmpl w:val="E4809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D502E"/>
    <w:multiLevelType w:val="multilevel"/>
    <w:tmpl w:val="6B3EA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40377"/>
    <w:multiLevelType w:val="multilevel"/>
    <w:tmpl w:val="31888C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C44A1"/>
    <w:multiLevelType w:val="multilevel"/>
    <w:tmpl w:val="50A43D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746E6"/>
    <w:multiLevelType w:val="multilevel"/>
    <w:tmpl w:val="6B564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8A"/>
    <w:rsid w:val="004A0F20"/>
    <w:rsid w:val="00516250"/>
    <w:rsid w:val="006D0C48"/>
    <w:rsid w:val="00882A88"/>
    <w:rsid w:val="009D5D8A"/>
    <w:rsid w:val="00A60805"/>
    <w:rsid w:val="00C1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BAFD0-78F5-4F32-9CA6-6523176B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252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3">
    <w:name w:val="heading 3"/>
    <w:basedOn w:val="a"/>
    <w:link w:val="30"/>
    <w:qFormat/>
    <w:rsid w:val="0052753E"/>
    <w:pPr>
      <w:keepNext/>
      <w:widowControl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B7707"/>
    <w:rPr>
      <w:rFonts w:ascii="Tahoma" w:hAnsi="Tahoma" w:cs="Tahoma"/>
      <w:sz w:val="16"/>
      <w:szCs w:val="16"/>
    </w:rPr>
  </w:style>
  <w:style w:type="character" w:customStyle="1" w:styleId="8">
    <w:name w:val="Основной текст (8)_"/>
    <w:basedOn w:val="a0"/>
    <w:link w:val="80"/>
    <w:qFormat/>
    <w:locked/>
    <w:rsid w:val="00125525"/>
    <w:rPr>
      <w:sz w:val="19"/>
      <w:szCs w:val="19"/>
      <w:shd w:val="clear" w:color="auto" w:fill="FFFFFF"/>
    </w:rPr>
  </w:style>
  <w:style w:type="character" w:customStyle="1" w:styleId="30">
    <w:name w:val="Заголовок 3 Знак"/>
    <w:basedOn w:val="a0"/>
    <w:link w:val="3"/>
    <w:qFormat/>
    <w:rsid w:val="0052753E"/>
    <w:rPr>
      <w:rFonts w:ascii="Arial" w:eastAsia="Times New Roman" w:hAnsi="Arial" w:cs="Arial"/>
      <w:b/>
      <w:bCs/>
      <w:szCs w:val="18"/>
      <w:lang w:eastAsia="ru-RU"/>
    </w:rPr>
  </w:style>
  <w:style w:type="character" w:customStyle="1" w:styleId="ListLabel1">
    <w:name w:val="ListLabel 1"/>
    <w:qFormat/>
    <w:rsid w:val="00D8732D"/>
    <w:rPr>
      <w:rFonts w:eastAsia="Calibri"/>
      <w:b/>
      <w:sz w:val="20"/>
      <w:szCs w:val="20"/>
      <w:u w:val="none"/>
    </w:rPr>
  </w:style>
  <w:style w:type="character" w:customStyle="1" w:styleId="ListLabel2">
    <w:name w:val="ListLabel 2"/>
    <w:qFormat/>
    <w:rsid w:val="00D8732D"/>
    <w:rPr>
      <w:rFonts w:ascii="Times New Roman" w:hAnsi="Times New Roman"/>
      <w:b/>
      <w:i w:val="0"/>
      <w:sz w:val="20"/>
      <w:szCs w:val="20"/>
    </w:rPr>
  </w:style>
  <w:style w:type="character" w:customStyle="1" w:styleId="ListLabel3">
    <w:name w:val="ListLabel 3"/>
    <w:qFormat/>
    <w:rsid w:val="00D8732D"/>
    <w:rPr>
      <w:rFonts w:ascii="Times New Roman" w:hAnsi="Times New Roman"/>
      <w:b/>
      <w:sz w:val="20"/>
    </w:rPr>
  </w:style>
  <w:style w:type="character" w:customStyle="1" w:styleId="ListLabel4">
    <w:name w:val="ListLabel 4"/>
    <w:qFormat/>
    <w:rsid w:val="00D8732D"/>
    <w:rPr>
      <w:b/>
      <w:i w:val="0"/>
      <w:sz w:val="20"/>
      <w:szCs w:val="20"/>
    </w:rPr>
  </w:style>
  <w:style w:type="character" w:customStyle="1" w:styleId="ListLabel5">
    <w:name w:val="ListLabel 5"/>
    <w:qFormat/>
    <w:rsid w:val="00D8732D"/>
    <w:rPr>
      <w:b/>
    </w:rPr>
  </w:style>
  <w:style w:type="character" w:customStyle="1" w:styleId="ListLabel6">
    <w:name w:val="ListLabel 6"/>
    <w:qFormat/>
    <w:rsid w:val="00D8732D"/>
    <w:rPr>
      <w:b/>
    </w:rPr>
  </w:style>
  <w:style w:type="character" w:customStyle="1" w:styleId="ListLabel7">
    <w:name w:val="ListLabel 7"/>
    <w:qFormat/>
    <w:rsid w:val="00D8732D"/>
    <w:rPr>
      <w:rFonts w:ascii="Times New Roman" w:hAnsi="Times New Roman"/>
      <w:b/>
      <w:sz w:val="20"/>
    </w:rPr>
  </w:style>
  <w:style w:type="character" w:customStyle="1" w:styleId="ListLabel8">
    <w:name w:val="ListLabel 8"/>
    <w:qFormat/>
    <w:rsid w:val="00D8732D"/>
    <w:rPr>
      <w:rFonts w:eastAsia="Calibri" w:cs="Times New Roman"/>
    </w:rPr>
  </w:style>
  <w:style w:type="character" w:customStyle="1" w:styleId="ListLabel9">
    <w:name w:val="ListLabel 9"/>
    <w:qFormat/>
    <w:rsid w:val="00D8732D"/>
    <w:rPr>
      <w:rFonts w:cs="Courier New"/>
    </w:rPr>
  </w:style>
  <w:style w:type="character" w:customStyle="1" w:styleId="ListLabel10">
    <w:name w:val="ListLabel 10"/>
    <w:qFormat/>
    <w:rsid w:val="00D8732D"/>
    <w:rPr>
      <w:rFonts w:cs="Courier New"/>
    </w:rPr>
  </w:style>
  <w:style w:type="character" w:customStyle="1" w:styleId="ListLabel11">
    <w:name w:val="ListLabel 11"/>
    <w:qFormat/>
    <w:rsid w:val="00D8732D"/>
    <w:rPr>
      <w:rFonts w:cs="Courier New"/>
    </w:rPr>
  </w:style>
  <w:style w:type="character" w:customStyle="1" w:styleId="ListLabel12">
    <w:name w:val="ListLabel 12"/>
    <w:qFormat/>
    <w:rsid w:val="00D8732D"/>
    <w:rPr>
      <w:rFonts w:eastAsia="Calibri" w:cs="Times New Roman"/>
    </w:rPr>
  </w:style>
  <w:style w:type="character" w:customStyle="1" w:styleId="ListLabel13">
    <w:name w:val="ListLabel 13"/>
    <w:qFormat/>
    <w:rsid w:val="00D8732D"/>
    <w:rPr>
      <w:rFonts w:cs="Courier New"/>
    </w:rPr>
  </w:style>
  <w:style w:type="character" w:customStyle="1" w:styleId="ListLabel14">
    <w:name w:val="ListLabel 14"/>
    <w:qFormat/>
    <w:rsid w:val="00D8732D"/>
    <w:rPr>
      <w:rFonts w:cs="Courier New"/>
    </w:rPr>
  </w:style>
  <w:style w:type="character" w:customStyle="1" w:styleId="ListLabel15">
    <w:name w:val="ListLabel 15"/>
    <w:qFormat/>
    <w:rsid w:val="00D8732D"/>
    <w:rPr>
      <w:rFonts w:cs="Courier New"/>
    </w:rPr>
  </w:style>
  <w:style w:type="character" w:customStyle="1" w:styleId="ListLabel16">
    <w:name w:val="ListLabel 16"/>
    <w:qFormat/>
    <w:rsid w:val="00D8732D"/>
    <w:rPr>
      <w:b/>
      <w:i w:val="0"/>
      <w:sz w:val="20"/>
      <w:szCs w:val="20"/>
    </w:rPr>
  </w:style>
  <w:style w:type="character" w:customStyle="1" w:styleId="ListLabel17">
    <w:name w:val="ListLabel 17"/>
    <w:qFormat/>
    <w:rsid w:val="00D8732D"/>
    <w:rPr>
      <w:b/>
    </w:rPr>
  </w:style>
  <w:style w:type="character" w:customStyle="1" w:styleId="ListLabel18">
    <w:name w:val="ListLabel 18"/>
    <w:qFormat/>
    <w:rsid w:val="00D8732D"/>
    <w:rPr>
      <w:rFonts w:ascii="Times New Roman" w:hAnsi="Times New Roman"/>
      <w:b/>
      <w:sz w:val="20"/>
    </w:rPr>
  </w:style>
  <w:style w:type="character" w:customStyle="1" w:styleId="ListLabel19">
    <w:name w:val="ListLabel 19"/>
    <w:qFormat/>
    <w:rsid w:val="00D8732D"/>
    <w:rPr>
      <w:b w:val="0"/>
    </w:rPr>
  </w:style>
  <w:style w:type="character" w:customStyle="1" w:styleId="ListLabel20">
    <w:name w:val="ListLabel 20"/>
    <w:qFormat/>
    <w:rsid w:val="00D8732D"/>
    <w:rPr>
      <w:rFonts w:eastAsia="Times New Roman" w:cs="Times New Roman"/>
    </w:rPr>
  </w:style>
  <w:style w:type="character" w:customStyle="1" w:styleId="ListLabel21">
    <w:name w:val="ListLabel 21"/>
    <w:qFormat/>
    <w:rsid w:val="00D8732D"/>
    <w:rPr>
      <w:rFonts w:cs="Courier New"/>
    </w:rPr>
  </w:style>
  <w:style w:type="character" w:customStyle="1" w:styleId="ListLabel22">
    <w:name w:val="ListLabel 22"/>
    <w:qFormat/>
    <w:rsid w:val="00D8732D"/>
    <w:rPr>
      <w:rFonts w:cs="Courier New"/>
    </w:rPr>
  </w:style>
  <w:style w:type="character" w:customStyle="1" w:styleId="ListLabel23">
    <w:name w:val="ListLabel 23"/>
    <w:qFormat/>
    <w:rsid w:val="00D8732D"/>
    <w:rPr>
      <w:rFonts w:cs="Courier New"/>
    </w:rPr>
  </w:style>
  <w:style w:type="character" w:customStyle="1" w:styleId="ListLabel24">
    <w:name w:val="ListLabel 24"/>
    <w:qFormat/>
    <w:rsid w:val="00D8732D"/>
    <w:rPr>
      <w:rFonts w:eastAsia="Times New Roman" w:cs="Times New Roman"/>
    </w:rPr>
  </w:style>
  <w:style w:type="character" w:customStyle="1" w:styleId="ListLabel25">
    <w:name w:val="ListLabel 25"/>
    <w:qFormat/>
    <w:rsid w:val="00D8732D"/>
    <w:rPr>
      <w:rFonts w:cs="Courier New"/>
    </w:rPr>
  </w:style>
  <w:style w:type="character" w:customStyle="1" w:styleId="ListLabel26">
    <w:name w:val="ListLabel 26"/>
    <w:qFormat/>
    <w:rsid w:val="00D8732D"/>
    <w:rPr>
      <w:rFonts w:cs="Courier New"/>
    </w:rPr>
  </w:style>
  <w:style w:type="character" w:customStyle="1" w:styleId="ListLabel27">
    <w:name w:val="ListLabel 27"/>
    <w:qFormat/>
    <w:rsid w:val="00D8732D"/>
    <w:rPr>
      <w:rFonts w:cs="Courier New"/>
    </w:rPr>
  </w:style>
  <w:style w:type="character" w:customStyle="1" w:styleId="ListLabel28">
    <w:name w:val="ListLabel 28"/>
    <w:qFormat/>
    <w:rsid w:val="00D8732D"/>
    <w:rPr>
      <w:rFonts w:ascii="Times New Roman" w:eastAsia="Times New Roman" w:hAnsi="Times New Roman"/>
      <w:sz w:val="20"/>
    </w:rPr>
  </w:style>
  <w:style w:type="character" w:customStyle="1" w:styleId="ListLabel29">
    <w:name w:val="ListLabel 29"/>
    <w:qFormat/>
    <w:rsid w:val="00D8732D"/>
    <w:rPr>
      <w:rFonts w:ascii="Times New Roman" w:hAnsi="Times New Roman"/>
      <w:b/>
      <w:i w:val="0"/>
      <w:sz w:val="20"/>
      <w:szCs w:val="20"/>
    </w:rPr>
  </w:style>
  <w:style w:type="character" w:customStyle="1" w:styleId="ListLabel30">
    <w:name w:val="ListLabel 30"/>
    <w:qFormat/>
    <w:rsid w:val="00D8732D"/>
    <w:rPr>
      <w:rFonts w:ascii="Times New Roman" w:hAnsi="Times New Roman"/>
      <w:b/>
      <w:sz w:val="20"/>
    </w:rPr>
  </w:style>
  <w:style w:type="character" w:customStyle="1" w:styleId="ListLabel31">
    <w:name w:val="ListLabel 31"/>
    <w:qFormat/>
    <w:rsid w:val="00D8732D"/>
    <w:rPr>
      <w:rFonts w:ascii="Times New Roman" w:hAnsi="Times New Roman"/>
      <w:b/>
      <w:sz w:val="20"/>
    </w:rPr>
  </w:style>
  <w:style w:type="character" w:customStyle="1" w:styleId="ListLabel32">
    <w:name w:val="ListLabel 32"/>
    <w:qFormat/>
    <w:rsid w:val="00D8732D"/>
    <w:rPr>
      <w:rFonts w:ascii="Times New Roman" w:hAnsi="Times New Roman"/>
      <w:b/>
      <w:sz w:val="20"/>
    </w:rPr>
  </w:style>
  <w:style w:type="character" w:customStyle="1" w:styleId="ListLabel33">
    <w:name w:val="ListLabel 33"/>
    <w:qFormat/>
    <w:rsid w:val="00D8732D"/>
    <w:rPr>
      <w:rFonts w:ascii="Times New Roman" w:eastAsia="Times New Roman" w:hAnsi="Times New Roman"/>
      <w:sz w:val="20"/>
    </w:rPr>
  </w:style>
  <w:style w:type="character" w:customStyle="1" w:styleId="ListLabel34">
    <w:name w:val="ListLabel 34"/>
    <w:qFormat/>
    <w:rsid w:val="00D8732D"/>
    <w:rPr>
      <w:rFonts w:ascii="Times New Roman" w:hAnsi="Times New Roman"/>
      <w:b/>
      <w:i w:val="0"/>
      <w:sz w:val="20"/>
      <w:szCs w:val="20"/>
    </w:rPr>
  </w:style>
  <w:style w:type="character" w:customStyle="1" w:styleId="ListLabel35">
    <w:name w:val="ListLabel 35"/>
    <w:qFormat/>
    <w:rsid w:val="00D8732D"/>
    <w:rPr>
      <w:rFonts w:ascii="Times New Roman" w:hAnsi="Times New Roman"/>
      <w:b/>
      <w:sz w:val="20"/>
    </w:rPr>
  </w:style>
  <w:style w:type="character" w:customStyle="1" w:styleId="ListLabel36">
    <w:name w:val="ListLabel 36"/>
    <w:qFormat/>
    <w:rsid w:val="00D8732D"/>
    <w:rPr>
      <w:rFonts w:ascii="Times New Roman" w:hAnsi="Times New Roman"/>
      <w:b/>
      <w:sz w:val="20"/>
    </w:rPr>
  </w:style>
  <w:style w:type="character" w:customStyle="1" w:styleId="ListLabel37">
    <w:name w:val="ListLabel 37"/>
    <w:qFormat/>
    <w:rsid w:val="00D8732D"/>
    <w:rPr>
      <w:rFonts w:ascii="Times New Roman" w:hAnsi="Times New Roman"/>
      <w:b/>
      <w:sz w:val="20"/>
    </w:rPr>
  </w:style>
  <w:style w:type="character" w:customStyle="1" w:styleId="ListLabel38">
    <w:name w:val="ListLabel 38"/>
    <w:qFormat/>
    <w:rsid w:val="00D8732D"/>
    <w:rPr>
      <w:rFonts w:ascii="Times New Roman" w:eastAsia="Times New Roman" w:hAnsi="Times New Roman"/>
      <w:sz w:val="20"/>
    </w:rPr>
  </w:style>
  <w:style w:type="character" w:customStyle="1" w:styleId="FontStyle316">
    <w:name w:val="Font Style316"/>
    <w:basedOn w:val="a0"/>
    <w:uiPriority w:val="99"/>
    <w:qFormat/>
    <w:rsid w:val="00A472B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uiPriority w:val="99"/>
    <w:qFormat/>
    <w:rsid w:val="004342FE"/>
    <w:rPr>
      <w:color w:val="00000A"/>
      <w:sz w:val="22"/>
    </w:rPr>
  </w:style>
  <w:style w:type="character" w:customStyle="1" w:styleId="a5">
    <w:name w:val="Нижний колонтитул Знак"/>
    <w:basedOn w:val="a0"/>
    <w:uiPriority w:val="99"/>
    <w:qFormat/>
    <w:rsid w:val="004342FE"/>
    <w:rPr>
      <w:color w:val="00000A"/>
      <w:sz w:val="22"/>
    </w:rPr>
  </w:style>
  <w:style w:type="character" w:customStyle="1" w:styleId="ListLabel39">
    <w:name w:val="ListLabel 39"/>
    <w:qFormat/>
    <w:rPr>
      <w:b/>
      <w:i w:val="0"/>
      <w:sz w:val="20"/>
      <w:szCs w:val="20"/>
    </w:rPr>
  </w:style>
  <w:style w:type="character" w:customStyle="1" w:styleId="ListLabel40">
    <w:name w:val="ListLabel 40"/>
    <w:qFormat/>
    <w:rPr>
      <w:b/>
      <w:sz w:val="20"/>
    </w:rPr>
  </w:style>
  <w:style w:type="character" w:customStyle="1" w:styleId="ListLabel41">
    <w:name w:val="ListLabel 41"/>
    <w:qFormat/>
    <w:rPr>
      <w:b/>
      <w:sz w:val="20"/>
    </w:rPr>
  </w:style>
  <w:style w:type="character" w:customStyle="1" w:styleId="ListLabel42">
    <w:name w:val="ListLabel 42"/>
    <w:qFormat/>
    <w:rPr>
      <w:b/>
      <w:sz w:val="20"/>
    </w:rPr>
  </w:style>
  <w:style w:type="character" w:customStyle="1" w:styleId="ListLabel43">
    <w:name w:val="ListLabel 43"/>
    <w:qFormat/>
    <w:rPr>
      <w:rFonts w:eastAsia="Times New Roman"/>
      <w:sz w:val="20"/>
    </w:rPr>
  </w:style>
  <w:style w:type="paragraph" w:customStyle="1" w:styleId="a6">
    <w:name w:val="Заголовок"/>
    <w:basedOn w:val="a"/>
    <w:next w:val="a7"/>
    <w:qFormat/>
    <w:rsid w:val="00D8732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D8732D"/>
    <w:pPr>
      <w:spacing w:after="140" w:line="288" w:lineRule="auto"/>
    </w:pPr>
  </w:style>
  <w:style w:type="paragraph" w:styleId="a8">
    <w:name w:val="List"/>
    <w:basedOn w:val="a7"/>
    <w:rsid w:val="00D8732D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D8732D"/>
    <w:pPr>
      <w:suppressLineNumbers/>
    </w:pPr>
    <w:rPr>
      <w:rFonts w:cs="Mangal"/>
    </w:rPr>
  </w:style>
  <w:style w:type="paragraph" w:styleId="ab">
    <w:name w:val="Title"/>
    <w:basedOn w:val="a"/>
    <w:qFormat/>
    <w:rsid w:val="00D8732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DD5252"/>
    <w:pPr>
      <w:ind w:left="720"/>
      <w:contextualSpacing/>
    </w:pPr>
    <w:rPr>
      <w:rFonts w:eastAsiaTheme="minorEastAsia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FB77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80">
    <w:name w:val="Основной текст (8)"/>
    <w:basedOn w:val="a"/>
    <w:link w:val="8"/>
    <w:qFormat/>
    <w:rsid w:val="00125525"/>
    <w:pPr>
      <w:widowControl w:val="0"/>
      <w:shd w:val="clear" w:color="auto" w:fill="FFFFFF"/>
      <w:spacing w:after="0" w:line="223" w:lineRule="exact"/>
      <w:jc w:val="both"/>
      <w:textAlignment w:val="baseline"/>
    </w:pPr>
    <w:rPr>
      <w:sz w:val="19"/>
      <w:szCs w:val="19"/>
    </w:rPr>
  </w:style>
  <w:style w:type="paragraph" w:styleId="ae">
    <w:name w:val="No Spacing"/>
    <w:uiPriority w:val="1"/>
    <w:qFormat/>
    <w:rsid w:val="0065273F"/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styleId="af">
    <w:name w:val="header"/>
    <w:basedOn w:val="a"/>
    <w:uiPriority w:val="99"/>
    <w:unhideWhenUsed/>
    <w:rsid w:val="004342FE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4342FE"/>
    <w:pPr>
      <w:tabs>
        <w:tab w:val="center" w:pos="4677"/>
        <w:tab w:val="right" w:pos="9355"/>
      </w:tabs>
      <w:spacing w:after="0" w:line="240" w:lineRule="auto"/>
    </w:pPr>
  </w:style>
  <w:style w:type="table" w:styleId="af1">
    <w:name w:val="Table Grid"/>
    <w:basedOn w:val="a1"/>
    <w:uiPriority w:val="59"/>
    <w:rsid w:val="00DD5252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DD5252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9B1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FC4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1"/>
    <w:uiPriority w:val="39"/>
    <w:rsid w:val="0051625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54AA-2CA0-486E-97EC-96FAFE7B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Фасахова Дарья Александровна</dc:creator>
  <dc:description/>
  <cp:lastModifiedBy>Лаврентьева Елена Альбертовна</cp:lastModifiedBy>
  <cp:revision>9</cp:revision>
  <cp:lastPrinted>2019-04-15T07:19:00Z</cp:lastPrinted>
  <dcterms:created xsi:type="dcterms:W3CDTF">2017-12-11T05:03:00Z</dcterms:created>
  <dcterms:modified xsi:type="dcterms:W3CDTF">2019-04-26T03:34:00Z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